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20" w:rsidRDefault="006E3E6E">
      <w:pPr>
        <w:pStyle w:val="Titel"/>
      </w:pPr>
      <w:bookmarkStart w:id="0" w:name="_GoBack"/>
      <w:bookmarkEnd w:id="0"/>
      <w:r>
        <w:t>retourformulier</w:t>
      </w:r>
    </w:p>
    <w:p w:rsidR="00944CEF" w:rsidRDefault="00944CEF" w:rsidP="00944CEF">
      <w:r w:rsidRPr="00944CEF">
        <w:rPr>
          <w:color w:val="577188" w:themeColor="accent1" w:themeShade="BF"/>
        </w:rPr>
        <w:t>Factuurnummer</w:t>
      </w:r>
      <w:r>
        <w:t>:</w:t>
      </w:r>
    </w:p>
    <w:p w:rsidR="00944CEF" w:rsidRPr="00944CEF" w:rsidRDefault="00944CEF" w:rsidP="00944CEF">
      <w:r w:rsidRPr="00944CEF">
        <w:rPr>
          <w:color w:val="577188" w:themeColor="accent1" w:themeShade="BF"/>
        </w:rPr>
        <w:t>Ordernummer</w:t>
      </w:r>
      <w:r>
        <w:t>:</w:t>
      </w:r>
    </w:p>
    <w:p w:rsidR="00395520" w:rsidRDefault="00B65063">
      <w:pPr>
        <w:pStyle w:val="kop1"/>
      </w:pPr>
      <w:r>
        <w:t>ALGEMENE VOORWAARDE</w:t>
      </w:r>
      <w:r w:rsidR="00685BFB">
        <w:t>N</w:t>
      </w:r>
    </w:p>
    <w:p w:rsidR="00685BFB" w:rsidRPr="00685BFB" w:rsidRDefault="00685BFB" w:rsidP="00685BFB">
      <w:pPr>
        <w:rPr>
          <w:color w:val="577188" w:themeColor="accent1" w:themeShade="BF"/>
        </w:rPr>
      </w:pPr>
      <w:r w:rsidRPr="00685BFB">
        <w:rPr>
          <w:color w:val="577188" w:themeColor="accent1" w:themeShade="BF"/>
        </w:rPr>
        <w:t>Mocht het artikel na ontvangst niet naar wens zijn dan kun</w:t>
      </w:r>
      <w:r w:rsidR="0000087C">
        <w:rPr>
          <w:color w:val="577188" w:themeColor="accent1" w:themeShade="BF"/>
        </w:rPr>
        <w:t xml:space="preserve"> je</w:t>
      </w:r>
      <w:r w:rsidRPr="00685BFB">
        <w:rPr>
          <w:color w:val="577188" w:themeColor="accent1" w:themeShade="BF"/>
        </w:rPr>
        <w:t xml:space="preserve"> het retourneren. Dit dient vooraf gemeld te worden op ons mailadres: </w:t>
      </w:r>
      <w:hyperlink r:id="rId10" w:history="1">
        <w:r w:rsidRPr="00685BFB">
          <w:rPr>
            <w:rStyle w:val="Hyperlink"/>
            <w:color w:val="577188" w:themeColor="accent1" w:themeShade="BF"/>
          </w:rPr>
          <w:t>info@brouwerhomeliving.nl</w:t>
        </w:r>
      </w:hyperlink>
    </w:p>
    <w:p w:rsidR="00685BFB" w:rsidRPr="00685BFB" w:rsidRDefault="004364DC" w:rsidP="00685BFB">
      <w:pPr>
        <w:rPr>
          <w:color w:val="577188" w:themeColor="accent1" w:themeShade="BF"/>
        </w:rPr>
      </w:pPr>
      <w:r>
        <w:rPr>
          <w:color w:val="577188" w:themeColor="accent1" w:themeShade="BF"/>
        </w:rPr>
        <w:t>Je</w:t>
      </w:r>
      <w:r w:rsidR="00685BFB" w:rsidRPr="00685BFB">
        <w:rPr>
          <w:color w:val="577188" w:themeColor="accent1" w:themeShade="BF"/>
        </w:rPr>
        <w:t xml:space="preserve"> k</w:t>
      </w:r>
      <w:r>
        <w:rPr>
          <w:color w:val="577188" w:themeColor="accent1" w:themeShade="BF"/>
        </w:rPr>
        <w:t>unt</w:t>
      </w:r>
      <w:r w:rsidR="00685BFB" w:rsidRPr="00685BFB">
        <w:rPr>
          <w:color w:val="577188" w:themeColor="accent1" w:themeShade="BF"/>
        </w:rPr>
        <w:t xml:space="preserve"> het dan binnen 14 dagen na ontvangst terugsturen</w:t>
      </w:r>
      <w:r>
        <w:rPr>
          <w:color w:val="577188" w:themeColor="accent1" w:themeShade="BF"/>
        </w:rPr>
        <w:t>.</w:t>
      </w:r>
      <w:r w:rsidR="00685BFB" w:rsidRPr="00685BFB">
        <w:rPr>
          <w:color w:val="577188" w:themeColor="accent1" w:themeShade="BF"/>
        </w:rPr>
        <w:t xml:space="preserve"> </w:t>
      </w:r>
      <w:r w:rsidR="00323A52">
        <w:rPr>
          <w:color w:val="577188" w:themeColor="accent1" w:themeShade="BF"/>
        </w:rPr>
        <w:t>Samen met</w:t>
      </w:r>
      <w:r w:rsidR="00685BFB" w:rsidRPr="00685BFB">
        <w:rPr>
          <w:color w:val="577188" w:themeColor="accent1" w:themeShade="BF"/>
        </w:rPr>
        <w:t xml:space="preserve"> </w:t>
      </w:r>
      <w:r w:rsidR="00685BFB">
        <w:rPr>
          <w:color w:val="577188" w:themeColor="accent1" w:themeShade="BF"/>
        </w:rPr>
        <w:t>dit</w:t>
      </w:r>
      <w:r w:rsidR="00685BFB" w:rsidRPr="00685BFB">
        <w:rPr>
          <w:color w:val="577188" w:themeColor="accent1" w:themeShade="BF"/>
        </w:rPr>
        <w:t xml:space="preserve"> retourformulier.​ Zodra wij het pakket dan goed ontvangen hebben​ ontvang</w:t>
      </w:r>
      <w:r>
        <w:rPr>
          <w:color w:val="577188" w:themeColor="accent1" w:themeShade="BF"/>
        </w:rPr>
        <w:t xml:space="preserve"> je</w:t>
      </w:r>
      <w:r w:rsidR="00685BFB" w:rsidRPr="00685BFB">
        <w:rPr>
          <w:color w:val="577188" w:themeColor="accent1" w:themeShade="BF"/>
        </w:rPr>
        <w:t xml:space="preserve"> het aankoopbedrag binnen 10 dagen nadat wij het artikel ontvangen hebben retour op </w:t>
      </w:r>
      <w:r>
        <w:rPr>
          <w:color w:val="577188" w:themeColor="accent1" w:themeShade="BF"/>
        </w:rPr>
        <w:t>je</w:t>
      </w:r>
      <w:r w:rsidR="00685BFB" w:rsidRPr="00685BFB">
        <w:rPr>
          <w:color w:val="577188" w:themeColor="accent1" w:themeShade="BF"/>
        </w:rPr>
        <w:t xml:space="preserve"> rekening.</w:t>
      </w:r>
    </w:p>
    <w:p w:rsidR="00685BFB" w:rsidRPr="00685BFB" w:rsidRDefault="00685BFB" w:rsidP="00685BFB">
      <w:pPr>
        <w:rPr>
          <w:color w:val="577188" w:themeColor="accent1" w:themeShade="BF"/>
        </w:rPr>
      </w:pPr>
      <w:r w:rsidRPr="00685BFB">
        <w:rPr>
          <w:color w:val="577188" w:themeColor="accent1" w:themeShade="BF"/>
        </w:rPr>
        <w:t>Voorwaarden voor retourneren zijn:</w:t>
      </w:r>
    </w:p>
    <w:p w:rsidR="00323A52" w:rsidRPr="00944CEF" w:rsidRDefault="00685BFB" w:rsidP="00944CEF">
      <w:pPr>
        <w:numPr>
          <w:ilvl w:val="0"/>
          <w:numId w:val="1"/>
        </w:numPr>
        <w:rPr>
          <w:color w:val="577188" w:themeColor="accent1" w:themeShade="BF"/>
        </w:rPr>
      </w:pPr>
      <w:r w:rsidRPr="00685BFB">
        <w:rPr>
          <w:color w:val="577188" w:themeColor="accent1" w:themeShade="BF"/>
        </w:rPr>
        <w:t>binnen de zichttermijn van 14 dagen</w:t>
      </w:r>
      <w:r w:rsidR="00C84EF4">
        <w:rPr>
          <w:color w:val="577188" w:themeColor="accent1" w:themeShade="BF"/>
        </w:rPr>
        <w:t xml:space="preserve"> voorzien van dit retourformulier.</w:t>
      </w:r>
    </w:p>
    <w:p w:rsidR="00685BFB" w:rsidRPr="00685BFB" w:rsidRDefault="00685BFB" w:rsidP="00685BFB">
      <w:pPr>
        <w:numPr>
          <w:ilvl w:val="0"/>
          <w:numId w:val="1"/>
        </w:numPr>
        <w:rPr>
          <w:color w:val="577188" w:themeColor="accent1" w:themeShade="BF"/>
        </w:rPr>
      </w:pPr>
      <w:r w:rsidRPr="00685BFB">
        <w:rPr>
          <w:color w:val="577188" w:themeColor="accent1" w:themeShade="BF"/>
        </w:rPr>
        <w:t>artikel dient onbeschadigd te zijn, niet gebruikt, in de originele staat, met de eventuele kaartjes er nog aan.</w:t>
      </w:r>
    </w:p>
    <w:p w:rsidR="00685BFB" w:rsidRPr="00685BFB" w:rsidRDefault="00685BFB" w:rsidP="00685BFB">
      <w:pPr>
        <w:numPr>
          <w:ilvl w:val="0"/>
          <w:numId w:val="1"/>
        </w:numPr>
        <w:rPr>
          <w:color w:val="577188" w:themeColor="accent1" w:themeShade="BF"/>
        </w:rPr>
      </w:pPr>
      <w:r w:rsidRPr="00685BFB">
        <w:rPr>
          <w:color w:val="577188" w:themeColor="accent1" w:themeShade="BF"/>
        </w:rPr>
        <w:t>eventuele fabrieksverpakking moet onbeschadigd en nog netjes zijn.</w:t>
      </w:r>
    </w:p>
    <w:p w:rsidR="00323A52" w:rsidRDefault="00685BFB" w:rsidP="00323A52">
      <w:pPr>
        <w:numPr>
          <w:ilvl w:val="0"/>
          <w:numId w:val="1"/>
        </w:numPr>
        <w:rPr>
          <w:color w:val="577188" w:themeColor="accent1" w:themeShade="BF"/>
        </w:rPr>
      </w:pPr>
      <w:r w:rsidRPr="00685BFB">
        <w:rPr>
          <w:color w:val="577188" w:themeColor="accent1" w:themeShade="BF"/>
        </w:rPr>
        <w:t>opruimingsartikelen mogen niet meer retour.</w:t>
      </w:r>
    </w:p>
    <w:p w:rsidR="00323A52" w:rsidRPr="00323A52" w:rsidRDefault="00323A52" w:rsidP="00323A52">
      <w:pPr>
        <w:ind w:left="720"/>
        <w:rPr>
          <w:color w:val="577188" w:themeColor="accent1" w:themeShade="BF"/>
        </w:rPr>
      </w:pPr>
    </w:p>
    <w:p w:rsidR="00685BFB" w:rsidRPr="00685BFB" w:rsidRDefault="00685BFB" w:rsidP="00685BFB">
      <w:pPr>
        <w:rPr>
          <w:color w:val="577188" w:themeColor="accent1" w:themeShade="BF"/>
        </w:rPr>
      </w:pPr>
      <w:r w:rsidRPr="00685BFB">
        <w:rPr>
          <w:color w:val="577188" w:themeColor="accent1" w:themeShade="BF"/>
        </w:rPr>
        <w:t>Bij retourneren zijn de verzend- en retourkosten voor rekening van de klant.</w:t>
      </w:r>
    </w:p>
    <w:p w:rsidR="00395520" w:rsidRDefault="00395520"/>
    <w:p w:rsidR="00395520" w:rsidRPr="00022E2D" w:rsidRDefault="00487699" w:rsidP="00022E2D">
      <w:pPr>
        <w:pStyle w:val="kop1"/>
        <w:tabs>
          <w:tab w:val="left" w:pos="6390"/>
        </w:tabs>
        <w:rPr>
          <w:sz w:val="20"/>
          <w:szCs w:val="20"/>
        </w:rPr>
      </w:pPr>
      <w:r>
        <w:t>REDEN VAN RETOUR:</w:t>
      </w:r>
      <w:r w:rsidR="00204ACF">
        <w:t xml:space="preserve">                                                                                </w:t>
      </w:r>
      <w:r w:rsidR="00204ACF" w:rsidRPr="00204ACF">
        <w:rPr>
          <w:sz w:val="20"/>
          <w:szCs w:val="20"/>
        </w:rPr>
        <w:t>doorhalen wat niet van toepassing is.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4834"/>
        <w:gridCol w:w="1051"/>
        <w:gridCol w:w="1893"/>
        <w:gridCol w:w="1780"/>
        <w:gridCol w:w="222"/>
      </w:tblGrid>
      <w:tr w:rsidR="00395520" w:rsidTr="00487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395520" w:rsidRDefault="00487699">
            <w:r>
              <w:t>vOLDOET NIET AAN VERWACHTINGEN</w:t>
            </w:r>
          </w:p>
        </w:tc>
        <w:tc>
          <w:tcPr>
            <w:tcW w:w="56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1195" w:type="pct"/>
          </w:tcPr>
          <w:p w:rsidR="00395520" w:rsidRDefault="00395520"/>
        </w:tc>
      </w:tr>
      <w:tr w:rsidR="00395520" w:rsidTr="00487699">
        <w:tc>
          <w:tcPr>
            <w:tcW w:w="2500" w:type="pct"/>
          </w:tcPr>
          <w:p w:rsidR="00395520" w:rsidRPr="00487699" w:rsidRDefault="00487699">
            <w:pPr>
              <w:rPr>
                <w:rFonts w:asciiTheme="majorHAnsi" w:hAnsiTheme="majorHAnsi" w:cstheme="majorHAnsi"/>
                <w:color w:val="577188" w:themeColor="accent1" w:themeShade="BF"/>
              </w:rPr>
            </w:pPr>
            <w:r w:rsidRPr="00487699">
              <w:rPr>
                <w:rFonts w:asciiTheme="majorHAnsi" w:hAnsiTheme="majorHAnsi" w:cstheme="majorHAnsi"/>
                <w:color w:val="577188" w:themeColor="accent1" w:themeShade="BF"/>
              </w:rPr>
              <w:t>BES</w:t>
            </w:r>
            <w:r>
              <w:rPr>
                <w:rFonts w:asciiTheme="majorHAnsi" w:hAnsiTheme="majorHAnsi" w:cstheme="majorHAnsi"/>
                <w:color w:val="577188" w:themeColor="accent1" w:themeShade="BF"/>
              </w:rPr>
              <w:t>CHADIGD/DEFECT</w:t>
            </w:r>
          </w:p>
        </w:tc>
        <w:tc>
          <w:tcPr>
            <w:tcW w:w="56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1195" w:type="pct"/>
          </w:tcPr>
          <w:p w:rsidR="00395520" w:rsidRDefault="00395520"/>
        </w:tc>
      </w:tr>
      <w:tr w:rsidR="00395520" w:rsidTr="00487699">
        <w:tc>
          <w:tcPr>
            <w:tcW w:w="2500" w:type="pct"/>
          </w:tcPr>
          <w:p w:rsidR="00395520" w:rsidRPr="00487699" w:rsidRDefault="00487699">
            <w:pPr>
              <w:rPr>
                <w:rFonts w:asciiTheme="majorHAnsi" w:hAnsiTheme="majorHAnsi" w:cstheme="majorHAnsi"/>
                <w:color w:val="577188" w:themeColor="accent1" w:themeShade="BF"/>
              </w:rPr>
            </w:pPr>
            <w:r>
              <w:rPr>
                <w:rFonts w:asciiTheme="majorHAnsi" w:hAnsiTheme="majorHAnsi" w:cstheme="majorHAnsi"/>
                <w:color w:val="577188" w:themeColor="accent1" w:themeShade="BF"/>
              </w:rPr>
              <w:t>VERKEERD ARTIKEL ONTVANGEN</w:t>
            </w:r>
          </w:p>
        </w:tc>
        <w:tc>
          <w:tcPr>
            <w:tcW w:w="56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1195" w:type="pct"/>
          </w:tcPr>
          <w:p w:rsidR="00395520" w:rsidRDefault="00395520"/>
        </w:tc>
      </w:tr>
      <w:tr w:rsidR="00395520" w:rsidTr="00487699">
        <w:tc>
          <w:tcPr>
            <w:tcW w:w="2500" w:type="pct"/>
          </w:tcPr>
          <w:p w:rsidR="00395520" w:rsidRPr="00E15B56" w:rsidRDefault="00395520">
            <w:pPr>
              <w:rPr>
                <w:rFonts w:asciiTheme="majorHAnsi" w:hAnsiTheme="majorHAnsi" w:cstheme="majorHAnsi"/>
                <w:color w:val="577188" w:themeColor="accent1" w:themeShade="BF"/>
              </w:rPr>
            </w:pPr>
          </w:p>
        </w:tc>
        <w:tc>
          <w:tcPr>
            <w:tcW w:w="56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996" w:type="pct"/>
          </w:tcPr>
          <w:p w:rsidR="00395520" w:rsidRDefault="00395520"/>
        </w:tc>
        <w:tc>
          <w:tcPr>
            <w:tcW w:w="1195" w:type="pct"/>
          </w:tcPr>
          <w:p w:rsidR="00395520" w:rsidRDefault="00395520"/>
        </w:tc>
      </w:tr>
    </w:tbl>
    <w:p w:rsidR="00395520" w:rsidRDefault="00944CEF">
      <w:pPr>
        <w:pStyle w:val="kop1"/>
      </w:pPr>
      <w:r>
        <w:t>Opmerkingen</w:t>
      </w:r>
      <w:r w:rsidR="00D87BB6">
        <w:t>:</w:t>
      </w:r>
    </w:p>
    <w:tbl>
      <w:tblPr>
        <w:tblStyle w:val="Tabelmetstatusrapport"/>
        <w:tblW w:w="5022" w:type="pct"/>
        <w:tblLook w:val="04A0" w:firstRow="1" w:lastRow="0" w:firstColumn="1" w:lastColumn="0" w:noHBand="0" w:noVBand="1"/>
      </w:tblPr>
      <w:tblGrid>
        <w:gridCol w:w="2880"/>
        <w:gridCol w:w="2303"/>
        <w:gridCol w:w="1727"/>
        <w:gridCol w:w="2880"/>
      </w:tblGrid>
      <w:tr w:rsidR="003F1F1D" w:rsidTr="00944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471" w:type="pct"/>
          </w:tcPr>
          <w:p w:rsidR="003F1F1D" w:rsidRDefault="003F1F1D"/>
        </w:tc>
        <w:tc>
          <w:tcPr>
            <w:tcW w:w="1176" w:type="pct"/>
          </w:tcPr>
          <w:p w:rsidR="003F1F1D" w:rsidRDefault="003F1F1D"/>
        </w:tc>
        <w:tc>
          <w:tcPr>
            <w:tcW w:w="882" w:type="pct"/>
          </w:tcPr>
          <w:p w:rsidR="003F1F1D" w:rsidRDefault="003F1F1D"/>
        </w:tc>
        <w:tc>
          <w:tcPr>
            <w:tcW w:w="1471" w:type="pct"/>
          </w:tcPr>
          <w:p w:rsidR="003F1F1D" w:rsidRDefault="003F1F1D"/>
        </w:tc>
      </w:tr>
      <w:tr w:rsidR="003F1F1D" w:rsidTr="00944CEF">
        <w:trPr>
          <w:trHeight w:val="238"/>
        </w:trPr>
        <w:tc>
          <w:tcPr>
            <w:tcW w:w="1471" w:type="pct"/>
          </w:tcPr>
          <w:p w:rsidR="003F1F1D" w:rsidRDefault="003F1F1D"/>
        </w:tc>
        <w:tc>
          <w:tcPr>
            <w:tcW w:w="1176" w:type="pct"/>
          </w:tcPr>
          <w:p w:rsidR="003F1F1D" w:rsidRDefault="003F1F1D"/>
        </w:tc>
        <w:tc>
          <w:tcPr>
            <w:tcW w:w="882" w:type="pct"/>
          </w:tcPr>
          <w:p w:rsidR="003F1F1D" w:rsidRDefault="003F1F1D"/>
        </w:tc>
        <w:tc>
          <w:tcPr>
            <w:tcW w:w="1471" w:type="pct"/>
          </w:tcPr>
          <w:p w:rsidR="003F1F1D" w:rsidRDefault="003F1F1D"/>
        </w:tc>
      </w:tr>
      <w:tr w:rsidR="003F1F1D" w:rsidTr="00944CEF">
        <w:trPr>
          <w:trHeight w:val="100"/>
        </w:trPr>
        <w:tc>
          <w:tcPr>
            <w:tcW w:w="1471" w:type="pct"/>
          </w:tcPr>
          <w:p w:rsidR="003F1F1D" w:rsidRDefault="003F1F1D"/>
        </w:tc>
        <w:tc>
          <w:tcPr>
            <w:tcW w:w="1176" w:type="pct"/>
          </w:tcPr>
          <w:p w:rsidR="003F1F1D" w:rsidRDefault="003F1F1D"/>
        </w:tc>
        <w:tc>
          <w:tcPr>
            <w:tcW w:w="882" w:type="pct"/>
          </w:tcPr>
          <w:p w:rsidR="003F1F1D" w:rsidRDefault="003F1F1D"/>
        </w:tc>
        <w:tc>
          <w:tcPr>
            <w:tcW w:w="1471" w:type="pct"/>
          </w:tcPr>
          <w:p w:rsidR="003F1F1D" w:rsidRDefault="003F1F1D"/>
        </w:tc>
      </w:tr>
    </w:tbl>
    <w:p w:rsidR="00395520" w:rsidRDefault="00B57802">
      <w:pPr>
        <w:pStyle w:val="kop1"/>
      </w:pPr>
      <w:r>
        <w:t>kLANTINFORMATIE:</w:t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395520" w:rsidTr="0039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395520" w:rsidRDefault="00487699">
            <w:r>
              <w:t>Naam:</w:t>
            </w:r>
          </w:p>
        </w:tc>
        <w:tc>
          <w:tcPr>
            <w:tcW w:w="1250" w:type="pct"/>
          </w:tcPr>
          <w:p w:rsidR="00395520" w:rsidRDefault="00395520"/>
        </w:tc>
        <w:tc>
          <w:tcPr>
            <w:tcW w:w="1250" w:type="pct"/>
          </w:tcPr>
          <w:p w:rsidR="00395520" w:rsidRDefault="00395520"/>
        </w:tc>
      </w:tr>
      <w:tr w:rsidR="00395520" w:rsidTr="00395520">
        <w:tc>
          <w:tcPr>
            <w:tcW w:w="2500" w:type="pct"/>
          </w:tcPr>
          <w:p w:rsidR="00395520" w:rsidRPr="00487699" w:rsidRDefault="00487699">
            <w:pPr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577188" w:themeColor="accent1" w:themeShade="BF"/>
              </w:rPr>
              <w:t>E-</w:t>
            </w:r>
            <w:r w:rsidRPr="00487699">
              <w:rPr>
                <w:rFonts w:asciiTheme="majorHAnsi" w:hAnsiTheme="majorHAnsi" w:cstheme="majorHAnsi"/>
                <w:color w:val="577188" w:themeColor="accent1" w:themeShade="BF"/>
              </w:rPr>
              <w:t>M</w:t>
            </w:r>
            <w:r>
              <w:rPr>
                <w:rFonts w:asciiTheme="majorHAnsi" w:hAnsiTheme="majorHAnsi" w:cstheme="majorHAnsi"/>
                <w:color w:val="577188" w:themeColor="accent1" w:themeShade="BF"/>
              </w:rPr>
              <w:t>AIL:</w:t>
            </w:r>
          </w:p>
        </w:tc>
        <w:tc>
          <w:tcPr>
            <w:tcW w:w="1250" w:type="pct"/>
          </w:tcPr>
          <w:p w:rsidR="00395520" w:rsidRDefault="00395520"/>
        </w:tc>
        <w:tc>
          <w:tcPr>
            <w:tcW w:w="1250" w:type="pct"/>
          </w:tcPr>
          <w:p w:rsidR="00395520" w:rsidRDefault="00395520"/>
        </w:tc>
      </w:tr>
      <w:tr w:rsidR="00395520" w:rsidTr="00395520">
        <w:tc>
          <w:tcPr>
            <w:tcW w:w="2500" w:type="pct"/>
          </w:tcPr>
          <w:p w:rsidR="00395520" w:rsidRDefault="00487699">
            <w:r w:rsidRPr="00487699">
              <w:rPr>
                <w:rFonts w:asciiTheme="majorHAnsi" w:hAnsiTheme="majorHAnsi" w:cstheme="majorHAnsi"/>
                <w:color w:val="577188" w:themeColor="accent1" w:themeShade="BF"/>
              </w:rPr>
              <w:t>TEL</w:t>
            </w:r>
            <w:r>
              <w:rPr>
                <w:rFonts w:asciiTheme="majorHAnsi" w:hAnsiTheme="majorHAnsi" w:cstheme="majorHAnsi"/>
                <w:color w:val="577188" w:themeColor="accent1" w:themeShade="BF"/>
              </w:rPr>
              <w:t>EFOONNUMMER:</w:t>
            </w:r>
          </w:p>
        </w:tc>
        <w:tc>
          <w:tcPr>
            <w:tcW w:w="1250" w:type="pct"/>
          </w:tcPr>
          <w:p w:rsidR="00395520" w:rsidRDefault="00395520"/>
        </w:tc>
        <w:tc>
          <w:tcPr>
            <w:tcW w:w="1250" w:type="pct"/>
          </w:tcPr>
          <w:p w:rsidR="00395520" w:rsidRDefault="00395520"/>
        </w:tc>
      </w:tr>
      <w:tr w:rsidR="006E029B" w:rsidTr="00395520">
        <w:tc>
          <w:tcPr>
            <w:tcW w:w="2500" w:type="pct"/>
          </w:tcPr>
          <w:p w:rsidR="006E029B" w:rsidRPr="006E029B" w:rsidRDefault="006E029B">
            <w:pPr>
              <w:rPr>
                <w:rFonts w:asciiTheme="majorHAnsi" w:hAnsiTheme="majorHAnsi" w:cstheme="majorHAnsi"/>
                <w:color w:val="577188" w:themeColor="accent1" w:themeShade="BF"/>
              </w:rPr>
            </w:pPr>
            <w:r>
              <w:rPr>
                <w:rFonts w:asciiTheme="majorHAnsi" w:hAnsiTheme="majorHAnsi" w:cstheme="majorHAnsi"/>
                <w:color w:val="577188" w:themeColor="accent1" w:themeShade="BF"/>
              </w:rPr>
              <w:t>IBAN:</w:t>
            </w:r>
          </w:p>
        </w:tc>
        <w:tc>
          <w:tcPr>
            <w:tcW w:w="1250" w:type="pct"/>
          </w:tcPr>
          <w:p w:rsidR="006E029B" w:rsidRDefault="006E029B"/>
        </w:tc>
        <w:tc>
          <w:tcPr>
            <w:tcW w:w="1250" w:type="pct"/>
          </w:tcPr>
          <w:p w:rsidR="006E029B" w:rsidRDefault="006E029B"/>
        </w:tc>
      </w:tr>
      <w:tr w:rsidR="00395520" w:rsidTr="00395520">
        <w:tc>
          <w:tcPr>
            <w:tcW w:w="2500" w:type="pct"/>
          </w:tcPr>
          <w:p w:rsidR="00395520" w:rsidRDefault="00395520"/>
        </w:tc>
        <w:tc>
          <w:tcPr>
            <w:tcW w:w="1250" w:type="pct"/>
          </w:tcPr>
          <w:p w:rsidR="00395520" w:rsidRDefault="00395520"/>
        </w:tc>
        <w:tc>
          <w:tcPr>
            <w:tcW w:w="1250" w:type="pct"/>
          </w:tcPr>
          <w:p w:rsidR="00395520" w:rsidRDefault="00395520"/>
        </w:tc>
      </w:tr>
    </w:tbl>
    <w:p w:rsidR="00395520" w:rsidRPr="003F1F1D" w:rsidRDefault="00395520">
      <w:pPr>
        <w:rPr>
          <w:rFonts w:asciiTheme="majorHAnsi" w:hAnsiTheme="majorHAnsi" w:cstheme="majorHAnsi"/>
          <w:color w:val="577188" w:themeColor="accent1" w:themeShade="BF"/>
        </w:rPr>
      </w:pPr>
    </w:p>
    <w:sectPr w:rsidR="00395520" w:rsidRPr="003F1F1D" w:rsidSect="00BC7117">
      <w:footerReference w:type="default" r:id="rId11"/>
      <w:headerReference w:type="first" r:id="rId12"/>
      <w:footerReference w:type="first" r:id="rId13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9B" w:rsidRDefault="009C259B">
      <w:pPr>
        <w:spacing w:before="0" w:after="0"/>
      </w:pPr>
      <w:r>
        <w:separator/>
      </w:r>
    </w:p>
  </w:endnote>
  <w:endnote w:type="continuationSeparator" w:id="0">
    <w:p w:rsidR="009C259B" w:rsidRDefault="009C25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BC711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1D" w:rsidRPr="00852645" w:rsidRDefault="00852645">
    <w:pPr>
      <w:pStyle w:val="Voettekst0"/>
      <w:rPr>
        <w:rFonts w:asciiTheme="majorHAnsi" w:hAnsiTheme="majorHAnsi" w:cstheme="majorHAnsi"/>
        <w:color w:val="577188" w:themeColor="accent1" w:themeShade="BF"/>
        <w:sz w:val="18"/>
        <w:szCs w:val="18"/>
      </w:rPr>
    </w:pPr>
    <w:r>
      <w:rPr>
        <w:rFonts w:asciiTheme="majorHAnsi" w:hAnsiTheme="majorHAnsi" w:cstheme="majorHAnsi"/>
        <w:color w:val="577188" w:themeColor="accent1" w:themeShade="BF"/>
        <w:sz w:val="18"/>
        <w:szCs w:val="18"/>
      </w:rPr>
      <w:t xml:space="preserve">   </w:t>
    </w:r>
    <w:r w:rsidR="003F1F1D" w:rsidRPr="00852645">
      <w:rPr>
        <w:rFonts w:asciiTheme="majorHAnsi" w:hAnsiTheme="majorHAnsi" w:cstheme="majorHAnsi"/>
        <w:color w:val="577188" w:themeColor="accent1" w:themeShade="BF"/>
        <w:sz w:val="18"/>
        <w:szCs w:val="18"/>
      </w:rPr>
      <w:t xml:space="preserve">DORPSSTRAAT 151 | 6741 AE LUNTEREN | 0318-482339 | </w:t>
    </w:r>
    <w:r w:rsidR="0080560E" w:rsidRPr="00852645">
      <w:rPr>
        <w:rFonts w:asciiTheme="majorHAnsi" w:hAnsiTheme="majorHAnsi" w:cstheme="majorHAnsi"/>
        <w:color w:val="577188" w:themeColor="accent1" w:themeShade="BF"/>
        <w:sz w:val="18"/>
        <w:szCs w:val="18"/>
      </w:rPr>
      <w:t xml:space="preserve">INFO@BROUWERHOMELIVING.NL | </w:t>
    </w:r>
    <w:r w:rsidRPr="00852645">
      <w:rPr>
        <w:rFonts w:asciiTheme="majorHAnsi" w:hAnsiTheme="majorHAnsi" w:cstheme="majorHAnsi"/>
        <w:color w:val="577188" w:themeColor="accent1" w:themeShade="BF"/>
        <w:sz w:val="18"/>
        <w:szCs w:val="18"/>
      </w:rPr>
      <w:t>WWW.BROUWERHOMELIVING.NL</w:t>
    </w:r>
    <w:r>
      <w:rPr>
        <w:rFonts w:asciiTheme="majorHAnsi" w:hAnsiTheme="majorHAnsi" w:cstheme="majorHAnsi"/>
        <w:color w:val="577188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9B" w:rsidRDefault="009C259B">
      <w:pPr>
        <w:spacing w:before="0" w:after="0"/>
      </w:pPr>
      <w:r>
        <w:separator/>
      </w:r>
    </w:p>
  </w:footnote>
  <w:footnote w:type="continuationSeparator" w:id="0">
    <w:p w:rsidR="009C259B" w:rsidRDefault="009C25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" w:type="pct"/>
      <w:tblInd w:w="4425" w:type="dxa"/>
      <w:tblLook w:val="04A0" w:firstRow="1" w:lastRow="0" w:firstColumn="1" w:lastColumn="0" w:noHBand="0" w:noVBand="1"/>
    </w:tblPr>
    <w:tblGrid>
      <w:gridCol w:w="2143"/>
      <w:gridCol w:w="222"/>
    </w:tblGrid>
    <w:tr w:rsidR="006E029B" w:rsidTr="006E029B">
      <w:trPr>
        <w:trHeight w:val="531"/>
      </w:trPr>
      <w:tc>
        <w:tcPr>
          <w:tcW w:w="4575" w:type="pct"/>
          <w:vAlign w:val="bottom"/>
        </w:tcPr>
        <w:p w:rsidR="00395520" w:rsidRPr="00685BFB" w:rsidRDefault="00685BFB" w:rsidP="00685BFB">
          <w:pPr>
            <w:rPr>
              <w:rFonts w:asciiTheme="majorHAnsi" w:hAnsiTheme="majorHAnsi" w:cstheme="majorHAnsi"/>
              <w:color w:val="577188" w:themeColor="accent1" w:themeShade="BF"/>
              <w:sz w:val="48"/>
              <w:szCs w:val="48"/>
              <w:u w:val="single"/>
            </w:rPr>
          </w:pPr>
          <w:r>
            <w:rPr>
              <w:rFonts w:asciiTheme="majorHAnsi" w:hAnsiTheme="majorHAnsi" w:cstheme="majorHAnsi"/>
              <w:color w:val="577188" w:themeColor="accent1" w:themeShade="BF"/>
              <w:sz w:val="48"/>
              <w:szCs w:val="48"/>
            </w:rPr>
            <w:t xml:space="preserve">  </w:t>
          </w:r>
        </w:p>
      </w:tc>
      <w:tc>
        <w:tcPr>
          <w:tcW w:w="425" w:type="pct"/>
          <w:vAlign w:val="bottom"/>
        </w:tcPr>
        <w:p w:rsidR="00395520" w:rsidRDefault="00395520">
          <w:pPr>
            <w:pStyle w:val="koptekst"/>
          </w:pPr>
        </w:p>
      </w:tc>
    </w:tr>
  </w:tbl>
  <w:p w:rsidR="00395520" w:rsidRDefault="006E029B">
    <w:pPr>
      <w:pStyle w:val="koptekst"/>
    </w:pPr>
    <w:r>
      <w:rPr>
        <w:rFonts w:asciiTheme="majorHAnsi" w:hAnsiTheme="majorHAnsi" w:cstheme="majorHAnsi"/>
        <w:noProof/>
        <w:color w:val="7E97AD" w:themeColor="accent1"/>
        <w:sz w:val="48"/>
        <w:szCs w:val="48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3047365</wp:posOffset>
          </wp:positionH>
          <wp:positionV relativeFrom="paragraph">
            <wp:posOffset>-762000</wp:posOffset>
          </wp:positionV>
          <wp:extent cx="3436025" cy="112331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ouw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02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307A"/>
    <w:multiLevelType w:val="multilevel"/>
    <w:tmpl w:val="09E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6E"/>
    <w:rsid w:val="0000087C"/>
    <w:rsid w:val="00022E2D"/>
    <w:rsid w:val="00204ACF"/>
    <w:rsid w:val="00323A52"/>
    <w:rsid w:val="00395520"/>
    <w:rsid w:val="003E60B4"/>
    <w:rsid w:val="003F1F1D"/>
    <w:rsid w:val="004364DC"/>
    <w:rsid w:val="00487699"/>
    <w:rsid w:val="00685BFB"/>
    <w:rsid w:val="0069606E"/>
    <w:rsid w:val="006E029B"/>
    <w:rsid w:val="006E3E6E"/>
    <w:rsid w:val="0080560E"/>
    <w:rsid w:val="00852645"/>
    <w:rsid w:val="00936DAF"/>
    <w:rsid w:val="00944CEF"/>
    <w:rsid w:val="00950FB3"/>
    <w:rsid w:val="009C259B"/>
    <w:rsid w:val="00B57802"/>
    <w:rsid w:val="00B65063"/>
    <w:rsid w:val="00BC7117"/>
    <w:rsid w:val="00C676BE"/>
    <w:rsid w:val="00C84EF4"/>
    <w:rsid w:val="00D87BB6"/>
    <w:rsid w:val="00E15B56"/>
    <w:rsid w:val="00E46041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F270B-6B84-4023-B3FA-37D64C55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85BFB"/>
    <w:rPr>
      <w:color w:val="646464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5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brouwerhomelivin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inkel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A70489F-B880-E340-BAA6-5DE5226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C:\Users\winkel\AppData\Roaming\Microsoft\Templates\Projectstatusrapport.dotx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</dc:creator>
  <cp:keywords/>
  <cp:lastModifiedBy>Jurriën Sprenkeler</cp:lastModifiedBy>
  <cp:revision>2</cp:revision>
  <cp:lastPrinted>2018-10-03T12:51:00Z</cp:lastPrinted>
  <dcterms:created xsi:type="dcterms:W3CDTF">2018-10-16T13:56:00Z</dcterms:created>
  <dcterms:modified xsi:type="dcterms:W3CDTF">2018-10-16T13:56:00Z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